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Объекты для проведения практических занятий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Для практических занятий используются помещения групповых комнат, музыкальный зал, а так же прогулочные участки, спортивная площадки.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